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4"/>
        </w:rPr>
        <w:t>数据处理与安全声明</w:t>
      </w:r>
    </w:p>
    <w:p>
      <w:pPr>
        <w:jc w:val="center"/>
      </w:pPr>
      <w:r>
        <w:rPr>
          <w:rFonts w:ascii="宋体" w:hAnsi="宋体" w:eastAsia="宋体"/>
          <w:b w:val="0"/>
          <w:color w:val="606060"/>
          <w:sz w:val="21"/>
        </w:rPr>
        <w:t>Data Processing &amp; Security Statement</w:t>
      </w:r>
    </w:p>
    <w:p/>
    <w:p>
      <w:pPr>
        <w:spacing w:line="312" w:lineRule="auto" w:after="20"/>
      </w:pPr>
      <w:r>
        <w:rPr>
          <w:rFonts w:ascii="宋体" w:hAnsi="宋体" w:eastAsia="宋体"/>
          <w:b w:val="0"/>
          <w:sz w:val="21"/>
        </w:rPr>
        <w:t>声明主体：上海勋鸿文化传播有限公司（LLMAPI，以下称“本平台”或“我方”）</w:t>
      </w:r>
    </w:p>
    <w:p>
      <w:pPr>
        <w:spacing w:line="312" w:lineRule="auto" w:after="20"/>
      </w:pPr>
      <w:r>
        <w:rPr>
          <w:rFonts w:ascii="宋体" w:hAnsi="宋体" w:eastAsia="宋体"/>
          <w:b w:val="0"/>
          <w:sz w:val="21"/>
        </w:rPr>
        <w:t>服务标识：LLMAPI（llmapi.pro）大语言模型 API 聚合与接入服务</w:t>
      </w:r>
    </w:p>
    <w:p>
      <w:pPr>
        <w:spacing w:line="312" w:lineRule="auto" w:after="20"/>
      </w:pPr>
      <w:r>
        <w:rPr>
          <w:rFonts w:ascii="宋体" w:hAnsi="宋体" w:eastAsia="宋体"/>
          <w:b w:val="0"/>
          <w:sz w:val="21"/>
        </w:rPr>
        <w:t>版本 / 生效日期：v1.0 ／ 2026 年 7 月</w:t>
      </w:r>
    </w:p>
    <w:p>
      <w:pPr>
        <w:spacing w:line="312" w:lineRule="auto" w:after="120"/>
      </w:pPr>
      <w:r>
        <w:rPr>
          <w:rFonts w:ascii="宋体" w:hAnsi="宋体" w:eastAsia="宋体"/>
          <w:b w:val="0"/>
          <w:sz w:val="21"/>
        </w:rPr>
        <w:t>适用对象：使用本平台 API 服务的企业与机构客户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本声明旨在向企业与机构客户清晰说明本平台在提供 API 技术服务过程中，对客户数据的处理方式、留存规则、安全措施与责任边界，供客户合规评估与采购决策之用。本声明可作为双方服务合同 / 保密协议的配套文件，并与之保持一致。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一、角色界定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1.1　在本平台服务中，客户就其自身及其终端用户的数据，系数据的控制方 / 个人信息处理者；本平台作为 API 技术服务的中转 / 接入方，系受客户委托、按客户指令处理数据的受托处理方。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1.2　本平台仅在为客户提供本服务所必需的范围内处理数据，不超出客户指令的目的与范围，亦不将数据用于自身目的。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二、我们处理的数据类别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账户信息：注册时提供的电子邮箱、名称等，用于账户管理与身份识别。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使用元数据：请求时间戳、Token 用量、调用的模型 / 档位、调用状态等，用于计费、用量统计与服务保障。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请求与响应内容：客户经接口提交的提示词（Prompt）及模型返回的输出。对该类内容的处理与留存规则，详见第三条。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支付信息：经第三方支付机构安全处理，本平台不存储完整支付卡信息。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三、请求与响应内容的处理与留存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3.1　为实现服务，本平台需对客户经接口提交的请求内容进行必要的接收、处理与向客户所选模型的转发，并将模型响应回传客户。此为提供服务所必需的技术环节。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3.2　有限留存。为保障服务安全、防范滥用、处理计费争议及进行故障排查，本平台可能在实现上述目的所必需的最短期限内留存相关请求 / 响应内容；该等内容一般不超过 30 日即予删除或匿名化处理（法律法规另有强制留存要求的除外）。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3.3　用途限定。本平台对上述内容的处理严格限于前述运营与安全目的，并作出如下明确承诺：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绝不将客户数据用于任何模型训练、微调或蒸馏；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绝不出售、出租客户数据，或用于广告与画像；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绝不向无关第三方披露客户数据（为提供服务所必需的上游模型服务商、以及法律法规强制要求的情形除外）。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3.4　最小授权。对请求 / 响应内容的访问实行最小必要授权，仅限于为完成安全或排障工作的必要人员，并留有访问记录。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四、上游模型服务商与责任边界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4.1　本平台聚合业界主流大模型，客户可自主选择所调用的模型 / 档位，并可要求将其账户可调用的模型范围限定于指定范围。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4.2　AI 大模型服务具有“使用即传输、处理”的固有特性：客户经接口提交的数据，将由客户所选择调用的上游大模型服务商（含相关模型的原始提供方）接收并处理，此为使用该等服务所固有且为实现服务所必需。上游服务商就其自身对数据的接收与处理，依其自身条款执行，不属于本平台的披露或泄露行为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4.3　责任边界。本平台就其自身可控范围内的行为（即不转售、不外泄、不将数据用于本服务之外目的）承担责任；对上游服务商自身的数据处理行为，因非本平台所能控制，由相应责任主体依其条款承担，客户可向该等主体主张权利。本平台将在其可控范围内善尽保密与不转售义务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五、数据安全措施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传输加密：全部接口流量经 HTTPS / TLS 加密传输。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凭证保护：API 密钥以 SHA-256 哈希形式存储，本平台无法还原客户原始密钥。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访问控制：按最小必要原则控制内部访问权限，账户与密钥相互隔离。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账户独立：为客户开立的各 API 账户相互独立、独立密钥、独立计费，互不干扰。</w:t>
      </w:r>
    </w:p>
    <w:p>
      <w:pPr>
        <w:pStyle w:val="ListBullet"/>
        <w:spacing w:after="40" w:line="300" w:lineRule="auto"/>
      </w:pPr>
      <w:r>
        <w:rPr>
          <w:rFonts w:ascii="宋体" w:hAnsi="宋体" w:eastAsia="宋体"/>
          <w:b w:val="0"/>
          <w:sz w:val="21"/>
        </w:rPr>
        <w:t>滥用防护：对异常调用进行速率控制与风险监测，保障服务稳定与账户安全。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六、客户权利与数据删除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6.1　查询与导出。客户可随时通过控制台查询实时余额、用量与逐笔计费明细，并支持自行导出。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6.2　删除。客户可通过控制台或发送邮件至 support@llmapi.pro 申请删除账户及相关数据；删除将移除账户、资料与 API 密钥并停止相关服务。出于法律要求或防欺诈目的，交易与计费记录可能在法定期限内保留。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6.3　合同终止后处理。服务合同 / 保密协议终止后，本平台将依客户要求及时删除或返还其留存的相关数据，不再保留副本（法律法规强制保留的除外）。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七、数据安全事件响应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本平台建立安全事件响应机制。发生可能影响客户数据安全的事件时，本平台将及时采取处置与减损措施，并在合理期限内通知受影响客户，配合客户履行其相应的告知或报告义务。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八、Cookie 与追踪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本平台网站仅使用会话 Cookie 进行身份验证，不使用用于广告或跨站追踪的 Cookie。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九、声明的效力与更新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9.1　本声明与本平台线上《隐私政策》（llmapi.pro/privacy）保持一致；如作为服务合同 / 保密协议的配套文件提供，与该等协议具有一致的约束效力，冲突之处以双方另行签署的协议为准。</w:t>
      </w:r>
    </w:p>
    <w:p>
      <w:pPr>
        <w:spacing w:line="312" w:lineRule="auto" w:after="60"/>
        <w:ind w:firstLine="420"/>
      </w:pPr>
      <w:r>
        <w:rPr>
          <w:rFonts w:ascii="宋体" w:hAnsi="宋体" w:eastAsia="宋体"/>
          <w:b w:val="0"/>
          <w:sz w:val="21"/>
        </w:rPr>
        <w:t>9.2　本平台可根据法律法规或服务变化更新本声明，重大变更将通过网站或邮件方式告知。</w:t>
      </w:r>
    </w:p>
    <w:p>
      <w:pPr>
        <w:spacing w:before="200" w:after="60"/>
      </w:pPr>
      <w:r>
        <w:rPr>
          <w:rFonts w:ascii="宋体" w:hAnsi="宋体" w:eastAsia="宋体"/>
          <w:b/>
          <w:sz w:val="25"/>
        </w:rPr>
        <w:t>十、联系方式</w:t>
      </w:r>
    </w:p>
    <w:p>
      <w:pPr>
        <w:spacing w:line="312" w:lineRule="auto" w:after="160"/>
        <w:ind w:firstLine="420"/>
      </w:pPr>
      <w:r>
        <w:rPr>
          <w:rFonts w:ascii="宋体" w:hAnsi="宋体" w:eastAsia="宋体"/>
          <w:b w:val="0"/>
          <w:sz w:val="21"/>
        </w:rPr>
        <w:t>数据保护与合规事宜，请联系：support@llmapi.pro</w:t>
      </w:r>
    </w:p>
    <w:p/>
    <w:p>
      <w:pPr>
        <w:jc w:val="right"/>
      </w:pPr>
      <w:r>
        <w:rPr>
          <w:rFonts w:ascii="宋体" w:hAnsi="宋体" w:eastAsia="宋体"/>
          <w:b/>
          <w:sz w:val="21"/>
        </w:rPr>
        <w:t>上海勋鸿文化传播有限公司</w:t>
      </w:r>
    </w:p>
    <w:p>
      <w:pPr>
        <w:jc w:val="right"/>
      </w:pPr>
      <w:r>
        <w:rPr>
          <w:rFonts w:ascii="宋体" w:hAnsi="宋体" w:eastAsia="宋体"/>
          <w:b w:val="0"/>
          <w:sz w:val="21"/>
        </w:rPr>
        <w:t xml:space="preserve">（盖章）　　　　　　　　</w:t>
      </w:r>
    </w:p>
    <w:p>
      <w:pPr>
        <w:jc w:val="right"/>
      </w:pPr>
      <w:r>
        <w:rPr>
          <w:rFonts w:ascii="宋体" w:hAnsi="宋体" w:eastAsia="宋体"/>
          <w:b w:val="0"/>
          <w:sz w:val="21"/>
        </w:rPr>
        <w:t>日期：____年__月__日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